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74B" w:rsidRPr="00E8374B" w:rsidRDefault="00E8374B" w:rsidP="00E8374B">
      <w:pPr>
        <w:ind w:firstLine="482"/>
        <w:jc w:val="center"/>
        <w:rPr>
          <w:rFonts w:hint="eastAsia"/>
          <w:b/>
          <w:kern w:val="0"/>
        </w:rPr>
      </w:pPr>
      <w:r w:rsidRPr="00E8374B">
        <w:rPr>
          <w:rFonts w:hint="eastAsia"/>
          <w:b/>
          <w:kern w:val="0"/>
        </w:rPr>
        <w:t>青岛胶州市兰州东路</w:t>
      </w:r>
      <w:r w:rsidRPr="00E8374B">
        <w:rPr>
          <w:rFonts w:hint="eastAsia"/>
          <w:b/>
          <w:kern w:val="0"/>
        </w:rPr>
        <w:t>600</w:t>
      </w:r>
      <w:r w:rsidRPr="00E8374B">
        <w:rPr>
          <w:rFonts w:hint="eastAsia"/>
          <w:b/>
          <w:kern w:val="0"/>
        </w:rPr>
        <w:t>号南侧地块土壤污染风险评估</w:t>
      </w:r>
      <w:bookmarkStart w:id="0" w:name="_GoBack"/>
      <w:bookmarkEnd w:id="0"/>
    </w:p>
    <w:p w:rsidR="00BA19F4" w:rsidRPr="00F2396E" w:rsidRDefault="00BA19F4" w:rsidP="00BA19F4">
      <w:pPr>
        <w:ind w:firstLine="480"/>
      </w:pPr>
      <w:r w:rsidRPr="00F2396E">
        <w:rPr>
          <w:kern w:val="0"/>
        </w:rPr>
        <w:t>青岛胶州市兰州东路</w:t>
      </w:r>
      <w:r w:rsidRPr="00F2396E">
        <w:rPr>
          <w:kern w:val="0"/>
        </w:rPr>
        <w:t>60</w:t>
      </w:r>
      <w:r>
        <w:rPr>
          <w:kern w:val="0"/>
        </w:rPr>
        <w:t>2</w:t>
      </w:r>
      <w:r w:rsidRPr="00F2396E">
        <w:rPr>
          <w:kern w:val="0"/>
        </w:rPr>
        <w:t>号南侧地块紧邻青岛胶州市兰州东路</w:t>
      </w:r>
      <w:r w:rsidRPr="00F2396E">
        <w:rPr>
          <w:kern w:val="0"/>
        </w:rPr>
        <w:t>60</w:t>
      </w:r>
      <w:r>
        <w:rPr>
          <w:kern w:val="0"/>
        </w:rPr>
        <w:t>2</w:t>
      </w:r>
      <w:r w:rsidRPr="00F2396E">
        <w:rPr>
          <w:kern w:val="0"/>
        </w:rPr>
        <w:t>号原青岛白玉化工有限公司，地理中心坐标为</w:t>
      </w:r>
      <w:r w:rsidRPr="00F2396E">
        <w:rPr>
          <w:kern w:val="0"/>
        </w:rPr>
        <w:t>E</w:t>
      </w:r>
      <w:r w:rsidRPr="00F2396E">
        <w:rPr>
          <w:kern w:val="0"/>
        </w:rPr>
        <w:t>：</w:t>
      </w:r>
      <w:r w:rsidRPr="00F2396E">
        <w:rPr>
          <w:kern w:val="0"/>
        </w:rPr>
        <w:t>120°03</w:t>
      </w:r>
      <w:r w:rsidRPr="00F2396E">
        <w:rPr>
          <w:kern w:val="0"/>
        </w:rPr>
        <w:t>＇</w:t>
      </w:r>
      <w:r w:rsidRPr="00F2396E">
        <w:rPr>
          <w:kern w:val="0"/>
        </w:rPr>
        <w:t>56.85</w:t>
      </w:r>
      <w:r w:rsidRPr="00F2396E">
        <w:rPr>
          <w:kern w:val="0"/>
        </w:rPr>
        <w:t>＂，</w:t>
      </w:r>
      <w:r w:rsidRPr="00F2396E">
        <w:rPr>
          <w:kern w:val="0"/>
        </w:rPr>
        <w:t>N</w:t>
      </w:r>
      <w:r w:rsidRPr="00F2396E">
        <w:rPr>
          <w:kern w:val="0"/>
        </w:rPr>
        <w:t>：</w:t>
      </w:r>
      <w:r w:rsidRPr="00F2396E">
        <w:rPr>
          <w:kern w:val="0"/>
        </w:rPr>
        <w:t>36°17</w:t>
      </w:r>
      <w:r w:rsidRPr="00F2396E">
        <w:rPr>
          <w:kern w:val="0"/>
        </w:rPr>
        <w:t>＇</w:t>
      </w:r>
      <w:r w:rsidRPr="00F2396E">
        <w:rPr>
          <w:kern w:val="0"/>
        </w:rPr>
        <w:t>19.45</w:t>
      </w:r>
      <w:r w:rsidRPr="00F2396E">
        <w:rPr>
          <w:kern w:val="0"/>
        </w:rPr>
        <w:t>＂，占地面积约</w:t>
      </w:r>
      <w:r w:rsidRPr="00F2396E">
        <w:rPr>
          <w:kern w:val="0"/>
        </w:rPr>
        <w:t>73000m</w:t>
      </w:r>
      <w:r w:rsidRPr="00F2396E">
        <w:rPr>
          <w:kern w:val="0"/>
          <w:vertAlign w:val="superscript"/>
        </w:rPr>
        <w:t>2</w:t>
      </w:r>
      <w:r w:rsidRPr="00F2396E">
        <w:rPr>
          <w:kern w:val="0"/>
        </w:rPr>
        <w:t>。该地块历史上为盐碱滩涂地。</w:t>
      </w:r>
      <w:r w:rsidRPr="00F2396E">
        <w:rPr>
          <w:kern w:val="0"/>
        </w:rPr>
        <w:t>2019</w:t>
      </w:r>
      <w:r w:rsidRPr="00F2396E">
        <w:rPr>
          <w:kern w:val="0"/>
        </w:rPr>
        <w:t>年</w:t>
      </w:r>
      <w:r w:rsidRPr="00F2396E">
        <w:rPr>
          <w:kern w:val="0"/>
        </w:rPr>
        <w:t>7</w:t>
      </w:r>
      <w:r w:rsidRPr="00F2396E">
        <w:rPr>
          <w:kern w:val="0"/>
        </w:rPr>
        <w:t>月</w:t>
      </w:r>
      <w:r w:rsidRPr="00F2396E">
        <w:rPr>
          <w:kern w:val="0"/>
        </w:rPr>
        <w:t>-9</w:t>
      </w:r>
      <w:r w:rsidRPr="00F2396E">
        <w:rPr>
          <w:kern w:val="0"/>
        </w:rPr>
        <w:t>月，青岛仁里置业有限公司在原青岛白玉化工有限公司开展了土木工程建设，将地块内土壤清挖至</w:t>
      </w:r>
      <w:proofErr w:type="gramStart"/>
      <w:r w:rsidRPr="00F2396E">
        <w:rPr>
          <w:kern w:val="0"/>
        </w:rPr>
        <w:t>南侧和</w:t>
      </w:r>
      <w:proofErr w:type="gramEnd"/>
      <w:r w:rsidRPr="00F2396E">
        <w:rPr>
          <w:kern w:val="0"/>
        </w:rPr>
        <w:t>西侧的空地或水塘内（本地块）。青岛胶州市兰州东路</w:t>
      </w:r>
      <w:r>
        <w:rPr>
          <w:kern w:val="0"/>
        </w:rPr>
        <w:t>602</w:t>
      </w:r>
      <w:r>
        <w:rPr>
          <w:kern w:val="0"/>
        </w:rPr>
        <w:t>号</w:t>
      </w:r>
      <w:r w:rsidRPr="00F2396E">
        <w:rPr>
          <w:kern w:val="0"/>
        </w:rPr>
        <w:t>南侧地块空间位置见图</w:t>
      </w:r>
      <w:r w:rsidRPr="00F2396E">
        <w:rPr>
          <w:kern w:val="0"/>
        </w:rPr>
        <w:t>1.1-1</w:t>
      </w:r>
      <w:r w:rsidRPr="00F2396E">
        <w:rPr>
          <w:kern w:val="0"/>
        </w:rPr>
        <w:t>所示。本地块与原青岛白玉化工有限公司地块均由青岛仁里有限公司开展环境管理活动，两地块之间关系如图</w:t>
      </w:r>
      <w:r w:rsidRPr="00F2396E">
        <w:rPr>
          <w:kern w:val="0"/>
        </w:rPr>
        <w:t>1.1-2</w:t>
      </w:r>
      <w:r w:rsidRPr="00F2396E">
        <w:rPr>
          <w:kern w:val="0"/>
        </w:rPr>
        <w:t>所示。</w:t>
      </w:r>
    </w:p>
    <w:p w:rsidR="00BA19F4" w:rsidRPr="00F2396E" w:rsidRDefault="00BA19F4" w:rsidP="00BA19F4">
      <w:pPr>
        <w:ind w:firstLine="480"/>
      </w:pPr>
      <w:r w:rsidRPr="00F2396E">
        <w:t>2019</w:t>
      </w:r>
      <w:r w:rsidRPr="00F2396E">
        <w:t>年</w:t>
      </w:r>
      <w:r w:rsidRPr="00F2396E">
        <w:t>1</w:t>
      </w:r>
      <w:r w:rsidRPr="00F2396E">
        <w:t>月</w:t>
      </w:r>
      <w:r w:rsidRPr="00F2396E">
        <w:t>-2</w:t>
      </w:r>
      <w:r w:rsidRPr="00F2396E">
        <w:t>月，青岛仁里置业有限公司委托青岛银燕环保科技研究所对该地块进行土壤污染状况调查工作。初步调查结果表明土壤重金属超过《土壤环境质量</w:t>
      </w:r>
      <w:r w:rsidRPr="00F2396E">
        <w:t xml:space="preserve"> </w:t>
      </w:r>
      <w:r w:rsidRPr="00F2396E">
        <w:t>建设用地土壤污染风险管控标准（试行）》</w:t>
      </w:r>
      <w:r w:rsidRPr="00F2396E">
        <w:t>(GB36600-2018)</w:t>
      </w:r>
      <w:r w:rsidRPr="00F2396E">
        <w:t>第一类用地筛选值和地下水重金属超过《地下水质量标准》（</w:t>
      </w:r>
      <w:r w:rsidRPr="00F2396E">
        <w:t>GB/T 14848-2017</w:t>
      </w:r>
      <w:r w:rsidRPr="00F2396E">
        <w:t>）中的</w:t>
      </w:r>
      <w:r w:rsidRPr="00F2396E">
        <w:t>Ⅳ</w:t>
      </w:r>
      <w:r w:rsidRPr="00F2396E">
        <w:t>类标准。于</w:t>
      </w:r>
      <w:r w:rsidRPr="00F2396E">
        <w:t>2019</w:t>
      </w:r>
      <w:r w:rsidRPr="00F2396E">
        <w:t>年</w:t>
      </w:r>
      <w:r w:rsidRPr="00F2396E">
        <w:t>2</w:t>
      </w:r>
      <w:r w:rsidRPr="00F2396E">
        <w:t>月青岛仁里置业有限公司再次委托青岛银燕环保科技研究所开展了详细调查。调查结果表明，地块内大部分表层土壤（</w:t>
      </w:r>
      <w:r w:rsidRPr="00F2396E">
        <w:t>0-1m</w:t>
      </w:r>
      <w:r w:rsidRPr="00F2396E">
        <w:t>）和小部分深层土壤中重金属（砷、镉、铅、汞、镍、锌、钡、钴）及地下水中重金属（镉、铅、镍、锌、钴）锰酸盐指数、硫酸盐、氯化物、溶解性总固体、硝酸盐、总硬度超过相应筛选值和标准限值，属于污染地块，需开展下一步风险评估工作。</w:t>
      </w:r>
    </w:p>
    <w:p w:rsidR="00A82491" w:rsidRDefault="00BA19F4" w:rsidP="00BA19F4">
      <w:pPr>
        <w:ind w:firstLine="480"/>
        <w:rPr>
          <w:kern w:val="0"/>
        </w:rPr>
      </w:pPr>
      <w:r w:rsidRPr="00F2396E">
        <w:rPr>
          <w:kern w:val="0"/>
        </w:rPr>
        <w:t>2019</w:t>
      </w:r>
      <w:r w:rsidRPr="00F2396E">
        <w:rPr>
          <w:kern w:val="0"/>
        </w:rPr>
        <w:t>年</w:t>
      </w:r>
      <w:r w:rsidRPr="00F2396E">
        <w:rPr>
          <w:kern w:val="0"/>
        </w:rPr>
        <w:t>11</w:t>
      </w:r>
      <w:r w:rsidRPr="00F2396E">
        <w:rPr>
          <w:kern w:val="0"/>
        </w:rPr>
        <w:t>月，青岛市生态环境局胶州分局调查发现青岛仁里置业有限公司未按照规定进行土壤污染风险评估，进行行政处罚。青岛市环境保护科学研究院于</w:t>
      </w:r>
      <w:r w:rsidRPr="00F2396E">
        <w:rPr>
          <w:kern w:val="0"/>
        </w:rPr>
        <w:t>2020</w:t>
      </w:r>
      <w:r w:rsidRPr="00F2396E">
        <w:rPr>
          <w:kern w:val="0"/>
        </w:rPr>
        <w:t>年</w:t>
      </w:r>
      <w:r w:rsidRPr="00F2396E">
        <w:rPr>
          <w:kern w:val="0"/>
        </w:rPr>
        <w:t>4</w:t>
      </w:r>
      <w:r w:rsidRPr="00F2396E">
        <w:rPr>
          <w:kern w:val="0"/>
        </w:rPr>
        <w:t>月</w:t>
      </w:r>
      <w:r w:rsidRPr="00F2396E">
        <w:rPr>
          <w:kern w:val="0"/>
        </w:rPr>
        <w:t>1</w:t>
      </w:r>
      <w:r w:rsidRPr="00F2396E">
        <w:rPr>
          <w:kern w:val="0"/>
        </w:rPr>
        <w:t>日在青岛市组织召开了《青岛白玉化工有限公司地块土壤污染状况调查报告》技术评审会，调查地块在开展土壤污染状况调查采样后已经开工建设，调查报告缺少地块土壤扰动对调查结果的影响分析，土壤污染状况调查数据不能满足风险评估的要求，技术评审不予通过。针对报告，专家提出如下修改建议：</w:t>
      </w:r>
      <w:bookmarkStart w:id="1" w:name="_Hlk13053079"/>
      <w:r w:rsidRPr="00F2396E">
        <w:rPr>
          <w:kern w:val="0"/>
        </w:rPr>
        <w:t>1</w:t>
      </w:r>
      <w:r w:rsidRPr="00F2396E">
        <w:rPr>
          <w:kern w:val="0"/>
        </w:rPr>
        <w:t>）补充地块开发和扰动情况，对地块内土壤的转运等进行核实，对地块内土壤是否外运提供详细的佐证材料；</w:t>
      </w:r>
      <w:r w:rsidRPr="00F2396E">
        <w:rPr>
          <w:kern w:val="0"/>
        </w:rPr>
        <w:t>2</w:t>
      </w:r>
      <w:r w:rsidRPr="00F2396E">
        <w:rPr>
          <w:kern w:val="0"/>
        </w:rPr>
        <w:t>）结合土壤转运堆存情况，重新进行土壤点位布设和采样分析；</w:t>
      </w:r>
      <w:r w:rsidRPr="00F2396E">
        <w:rPr>
          <w:kern w:val="0"/>
        </w:rPr>
        <w:t>3</w:t>
      </w:r>
      <w:bookmarkEnd w:id="1"/>
      <w:r w:rsidRPr="00F2396E">
        <w:rPr>
          <w:kern w:val="0"/>
        </w:rPr>
        <w:t>）结合地块水文地质和地块开发的情况，对地下水污染进行重新调查；</w:t>
      </w:r>
      <w:r w:rsidRPr="00F2396E">
        <w:rPr>
          <w:kern w:val="0"/>
        </w:rPr>
        <w:t>4</w:t>
      </w:r>
      <w:r w:rsidRPr="00F2396E">
        <w:rPr>
          <w:kern w:val="0"/>
        </w:rPr>
        <w:t>）根据补充调查的结果，重新编制符合法规标准和技术要求的调查报告</w:t>
      </w:r>
      <w:r>
        <w:rPr>
          <w:kern w:val="0"/>
        </w:rPr>
        <w:t>。</w:t>
      </w:r>
    </w:p>
    <w:p w:rsidR="00BA19F4" w:rsidRPr="00F2396E" w:rsidRDefault="00BA19F4" w:rsidP="00BA19F4">
      <w:pPr>
        <w:ind w:firstLine="480"/>
      </w:pPr>
      <w:r w:rsidRPr="00F2396E">
        <w:t>该地块土壤中最终确定的风险评估关注污染物有</w:t>
      </w:r>
      <w:r w:rsidRPr="00F2396E">
        <w:t>9</w:t>
      </w:r>
      <w:r w:rsidRPr="00F2396E">
        <w:t>个：砷、铜、汞、镍、镉、</w:t>
      </w:r>
      <w:r w:rsidRPr="00F2396E">
        <w:lastRenderedPageBreak/>
        <w:t>锌、钴、铅、钡。地下水中不含风险评估关注污染物。</w:t>
      </w:r>
    </w:p>
    <w:p w:rsidR="00BA19F4" w:rsidRPr="00F2396E" w:rsidRDefault="00BA19F4" w:rsidP="00BA19F4">
      <w:pPr>
        <w:ind w:firstLine="480"/>
      </w:pPr>
      <w:r w:rsidRPr="00F2396E">
        <w:t>本次人体健康风险评估按照第一类用地方式下的</w:t>
      </w:r>
      <w:r w:rsidRPr="00F2396E">
        <w:t>6</w:t>
      </w:r>
      <w:r w:rsidRPr="00F2396E">
        <w:t>种土壤污染物暴露途径进行评估：（</w:t>
      </w:r>
      <w:r w:rsidRPr="00F2396E">
        <w:t>1</w:t>
      </w:r>
      <w:r w:rsidRPr="00F2396E">
        <w:t>）经口摄入土壤；（</w:t>
      </w:r>
      <w:r w:rsidRPr="00F2396E">
        <w:t>2</w:t>
      </w:r>
      <w:r w:rsidRPr="00F2396E">
        <w:t>）皮肤接触土壤；（</w:t>
      </w:r>
      <w:r w:rsidRPr="00F2396E">
        <w:t>3</w:t>
      </w:r>
      <w:r w:rsidRPr="00F2396E">
        <w:t>）吸入土壤颗粒物；（</w:t>
      </w:r>
      <w:r w:rsidRPr="00F2396E">
        <w:t>4</w:t>
      </w:r>
      <w:r w:rsidRPr="00F2396E">
        <w:t>）吸入室外空气中来自表层土壤的气态污染物；（</w:t>
      </w:r>
      <w:r w:rsidRPr="00F2396E">
        <w:t>5</w:t>
      </w:r>
      <w:r w:rsidRPr="00F2396E">
        <w:t>）吸入室外空气中来自下层土壤的气态污染物；（</w:t>
      </w:r>
      <w:r w:rsidRPr="00F2396E">
        <w:t>6</w:t>
      </w:r>
      <w:r w:rsidRPr="00F2396E">
        <w:t>）吸入室内空气中来自下层土壤的气态污染物。结合《建设用地土壤污染风险评估技术导则》（</w:t>
      </w:r>
      <w:r w:rsidRPr="00F2396E">
        <w:t>HJ 25.3-2019</w:t>
      </w:r>
      <w:r w:rsidRPr="00F2396E">
        <w:t>）中规定的默认参数以及地块实测参数进行计算。</w:t>
      </w:r>
      <w:proofErr w:type="gramStart"/>
      <w:r w:rsidRPr="00F2396E">
        <w:t>铅按照</w:t>
      </w:r>
      <w:proofErr w:type="gramEnd"/>
      <w:r w:rsidRPr="00F2396E">
        <w:t>基于血铅的土壤</w:t>
      </w:r>
      <w:proofErr w:type="gramStart"/>
      <w:r w:rsidRPr="00F2396E">
        <w:t>铅健康</w:t>
      </w:r>
      <w:proofErr w:type="gramEnd"/>
      <w:r w:rsidRPr="00F2396E">
        <w:t>风险评估进行计算。以上计算结果显示该地块土壤中有</w:t>
      </w:r>
      <w:r w:rsidRPr="00F2396E">
        <w:t>9</w:t>
      </w:r>
      <w:r w:rsidRPr="00F2396E">
        <w:t>种重金属污染物：砷、铜、汞、镍、镉、锌、钴、钡、铅的风险不可接受。</w:t>
      </w:r>
    </w:p>
    <w:p w:rsidR="00BA19F4" w:rsidRPr="00F2396E" w:rsidRDefault="00BA19F4" w:rsidP="00BA19F4">
      <w:pPr>
        <w:ind w:firstLine="480"/>
      </w:pPr>
      <w:r w:rsidRPr="00F2396E">
        <w:t>综合风险评估计算得出的</w:t>
      </w:r>
      <w:proofErr w:type="gramStart"/>
      <w:r w:rsidRPr="00F2396E">
        <w:t>超风险</w:t>
      </w:r>
      <w:proofErr w:type="gramEnd"/>
      <w:r w:rsidRPr="00F2396E">
        <w:t>污染物控制值、《土壤环境质量</w:t>
      </w:r>
      <w:r w:rsidRPr="00F2396E">
        <w:t xml:space="preserve"> </w:t>
      </w:r>
      <w:r w:rsidRPr="00F2396E">
        <w:t>建设用地土壤污染风险管控标准（试行）》（</w:t>
      </w:r>
      <w:r w:rsidRPr="00F2396E">
        <w:t>GB 3660-2018</w:t>
      </w:r>
      <w:r w:rsidRPr="00F2396E">
        <w:t>）第一类用地下中污染物的筛选值确定该地块中污染物的修复目标值，建议该地块土壤中</w:t>
      </w:r>
      <w:proofErr w:type="gramStart"/>
      <w:r w:rsidRPr="00F2396E">
        <w:t>超风险</w:t>
      </w:r>
      <w:proofErr w:type="gramEnd"/>
      <w:r w:rsidRPr="00F2396E">
        <w:t>污染物砷、铜、汞、镍、镉、锌、钴、钡、铅的修复目标值分别为</w:t>
      </w:r>
      <w:r w:rsidRPr="00F2396E">
        <w:t>40</w:t>
      </w:r>
      <w:r w:rsidRPr="00F2396E">
        <w:rPr>
          <w:szCs w:val="21"/>
        </w:rPr>
        <w:t>mg/kg</w:t>
      </w:r>
      <w:r w:rsidRPr="00F2396E">
        <w:t>、</w:t>
      </w:r>
      <w:r w:rsidRPr="00F2396E">
        <w:t>2000mg/kg</w:t>
      </w:r>
      <w:r w:rsidRPr="00F2396E">
        <w:t>、</w:t>
      </w:r>
      <w:r w:rsidRPr="00F2396E">
        <w:t>8mg/kg</w:t>
      </w:r>
      <w:r w:rsidRPr="00F2396E">
        <w:t>、</w:t>
      </w:r>
      <w:r w:rsidRPr="00F2396E">
        <w:t>223</w:t>
      </w:r>
      <w:r w:rsidRPr="00F2396E">
        <w:rPr>
          <w:szCs w:val="21"/>
        </w:rPr>
        <w:t xml:space="preserve"> mg/kg</w:t>
      </w:r>
      <w:r w:rsidRPr="00F2396E">
        <w:t>、</w:t>
      </w:r>
      <w:r w:rsidRPr="00F2396E">
        <w:t>28.5</w:t>
      </w:r>
      <w:r w:rsidRPr="00F2396E">
        <w:rPr>
          <w:szCs w:val="21"/>
        </w:rPr>
        <w:t xml:space="preserve"> mg/kg</w:t>
      </w:r>
      <w:r w:rsidRPr="00F2396E">
        <w:t>、</w:t>
      </w:r>
      <w:r w:rsidRPr="00F2396E">
        <w:t>15000mg/kg</w:t>
      </w:r>
      <w:r w:rsidRPr="00F2396E">
        <w:t>、</w:t>
      </w:r>
      <w:r w:rsidRPr="00F2396E">
        <w:t>40mg/kg</w:t>
      </w:r>
      <w:r w:rsidRPr="00F2396E">
        <w:t>、</w:t>
      </w:r>
      <w:r w:rsidRPr="00F2396E">
        <w:rPr>
          <w:szCs w:val="21"/>
        </w:rPr>
        <w:t>2520</w:t>
      </w:r>
      <w:r w:rsidRPr="00F2396E">
        <w:t xml:space="preserve"> mg/kg</w:t>
      </w:r>
      <w:r w:rsidRPr="00F2396E">
        <w:t>、</w:t>
      </w:r>
      <w:r w:rsidRPr="00F2396E">
        <w:rPr>
          <w:szCs w:val="21"/>
        </w:rPr>
        <w:t>400</w:t>
      </w:r>
      <w:r w:rsidRPr="00F2396E">
        <w:t xml:space="preserve"> mg/kg</w:t>
      </w:r>
      <w:r w:rsidRPr="00F2396E">
        <w:rPr>
          <w:szCs w:val="21"/>
        </w:rPr>
        <w:t>。</w:t>
      </w:r>
    </w:p>
    <w:p w:rsidR="00BA19F4" w:rsidRDefault="00BA19F4" w:rsidP="00BA19F4">
      <w:pPr>
        <w:ind w:firstLine="480"/>
      </w:pPr>
      <w:r w:rsidRPr="00F2396E">
        <w:rPr>
          <w:szCs w:val="28"/>
        </w:rPr>
        <w:t>统计本地块地面以下土壤污染区域污染总面积约为</w:t>
      </w:r>
      <w:r w:rsidRPr="00F2396E">
        <w:rPr>
          <w:szCs w:val="28"/>
        </w:rPr>
        <w:t>54923.76m</w:t>
      </w:r>
      <w:r w:rsidRPr="00F2396E">
        <w:rPr>
          <w:szCs w:val="28"/>
          <w:vertAlign w:val="superscript"/>
        </w:rPr>
        <w:t>2</w:t>
      </w:r>
      <w:r w:rsidRPr="00F2396E">
        <w:t>，修复方量</w:t>
      </w:r>
      <w:r w:rsidRPr="00F2396E">
        <w:rPr>
          <w:szCs w:val="20"/>
          <w:lang w:bidi="ar"/>
        </w:rPr>
        <w:t>163021.78</w:t>
      </w:r>
      <w:r w:rsidRPr="00F2396E">
        <w:rPr>
          <w:color w:val="000000"/>
        </w:rPr>
        <w:t xml:space="preserve"> m</w:t>
      </w:r>
      <w:r w:rsidRPr="00F2396E">
        <w:rPr>
          <w:color w:val="000000"/>
          <w:vertAlign w:val="superscript"/>
        </w:rPr>
        <w:t>3</w:t>
      </w:r>
      <w:r w:rsidRPr="00F2396E">
        <w:t>，堆土修复面积约</w:t>
      </w:r>
      <w:r w:rsidRPr="00F2396E">
        <w:rPr>
          <w:szCs w:val="28"/>
        </w:rPr>
        <w:t>3457.39m</w:t>
      </w:r>
      <w:r w:rsidRPr="00F2396E">
        <w:rPr>
          <w:szCs w:val="28"/>
          <w:vertAlign w:val="superscript"/>
        </w:rPr>
        <w:t>2</w:t>
      </w:r>
      <w:r w:rsidRPr="00F2396E">
        <w:rPr>
          <w:szCs w:val="28"/>
        </w:rPr>
        <w:t>，</w:t>
      </w:r>
      <w:r w:rsidRPr="00F2396E">
        <w:t>修复方量</w:t>
      </w:r>
      <w:r w:rsidRPr="00F2396E">
        <w:rPr>
          <w:szCs w:val="20"/>
          <w:lang w:bidi="ar"/>
        </w:rPr>
        <w:t>8185.55</w:t>
      </w:r>
      <w:r w:rsidRPr="00F2396E">
        <w:rPr>
          <w:color w:val="000000"/>
        </w:rPr>
        <w:t>m</w:t>
      </w:r>
      <w:r w:rsidRPr="00F2396E">
        <w:rPr>
          <w:color w:val="000000"/>
          <w:vertAlign w:val="superscript"/>
        </w:rPr>
        <w:t>3</w:t>
      </w:r>
      <w:r w:rsidRPr="00F2396E">
        <w:rPr>
          <w:color w:val="000000"/>
        </w:rPr>
        <w:t>，</w:t>
      </w:r>
      <w:r w:rsidRPr="00F2396E">
        <w:t>本地块共</w:t>
      </w:r>
      <w:r w:rsidRPr="00F2396E">
        <w:rPr>
          <w:color w:val="000000"/>
        </w:rPr>
        <w:t>计需修复土方量</w:t>
      </w:r>
      <w:bookmarkStart w:id="2" w:name="_Hlk49595971"/>
      <w:r w:rsidRPr="00F2396E">
        <w:rPr>
          <w:szCs w:val="20"/>
          <w:lang w:bidi="ar"/>
        </w:rPr>
        <w:t>171207.33</w:t>
      </w:r>
      <w:bookmarkEnd w:id="2"/>
      <w:r w:rsidRPr="00F2396E">
        <w:rPr>
          <w:color w:val="000000"/>
        </w:rPr>
        <w:t>m</w:t>
      </w:r>
      <w:r w:rsidRPr="00F2396E">
        <w:rPr>
          <w:color w:val="000000"/>
          <w:vertAlign w:val="superscript"/>
        </w:rPr>
        <w:t>3</w:t>
      </w:r>
      <w:r w:rsidRPr="00F2396E">
        <w:rPr>
          <w:color w:val="000000"/>
        </w:rPr>
        <w:t>。</w:t>
      </w:r>
    </w:p>
    <w:sectPr w:rsidR="00BA19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F4" w:rsidRDefault="00BA19F4" w:rsidP="00BA19F4">
      <w:pPr>
        <w:spacing w:line="240" w:lineRule="auto"/>
        <w:ind w:firstLine="480"/>
      </w:pPr>
      <w:r>
        <w:separator/>
      </w:r>
    </w:p>
  </w:endnote>
  <w:endnote w:type="continuationSeparator" w:id="0">
    <w:p w:rsidR="00BA19F4" w:rsidRDefault="00BA19F4" w:rsidP="00BA19F4">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4B" w:rsidRDefault="00E8374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4B" w:rsidRDefault="00E8374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4B" w:rsidRDefault="00E837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F4" w:rsidRDefault="00BA19F4" w:rsidP="00BA19F4">
      <w:pPr>
        <w:spacing w:line="240" w:lineRule="auto"/>
        <w:ind w:firstLine="480"/>
      </w:pPr>
      <w:r>
        <w:separator/>
      </w:r>
    </w:p>
  </w:footnote>
  <w:footnote w:type="continuationSeparator" w:id="0">
    <w:p w:rsidR="00BA19F4" w:rsidRDefault="00BA19F4" w:rsidP="00BA19F4">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4B" w:rsidRDefault="00E837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4B" w:rsidRDefault="00E837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74B" w:rsidRDefault="00E837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334"/>
    <w:rsid w:val="00706334"/>
    <w:rsid w:val="00A82491"/>
    <w:rsid w:val="00BA19F4"/>
    <w:rsid w:val="00E83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F4"/>
    <w:pPr>
      <w:widowControl w:val="0"/>
      <w:spacing w:line="360" w:lineRule="auto"/>
      <w:ind w:firstLineChars="200" w:firstLine="200"/>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9F4"/>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19F4"/>
    <w:rPr>
      <w:sz w:val="18"/>
      <w:szCs w:val="18"/>
    </w:rPr>
  </w:style>
  <w:style w:type="paragraph" w:styleId="a4">
    <w:name w:val="footer"/>
    <w:basedOn w:val="a"/>
    <w:link w:val="Char0"/>
    <w:uiPriority w:val="99"/>
    <w:unhideWhenUsed/>
    <w:rsid w:val="00BA19F4"/>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19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F4"/>
    <w:pPr>
      <w:widowControl w:val="0"/>
      <w:spacing w:line="360" w:lineRule="auto"/>
      <w:ind w:firstLineChars="200" w:firstLine="200"/>
      <w:jc w:val="both"/>
    </w:pPr>
    <w:rPr>
      <w:rFonts w:ascii="Times New Roman" w:eastAsia="宋体"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9F4"/>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19F4"/>
    <w:rPr>
      <w:sz w:val="18"/>
      <w:szCs w:val="18"/>
    </w:rPr>
  </w:style>
  <w:style w:type="paragraph" w:styleId="a4">
    <w:name w:val="footer"/>
    <w:basedOn w:val="a"/>
    <w:link w:val="Char0"/>
    <w:uiPriority w:val="99"/>
    <w:unhideWhenUsed/>
    <w:rsid w:val="00BA19F4"/>
    <w:pPr>
      <w:tabs>
        <w:tab w:val="center" w:pos="4153"/>
        <w:tab w:val="right" w:pos="8306"/>
      </w:tabs>
      <w:snapToGrid w:val="0"/>
      <w:spacing w:line="240" w:lineRule="auto"/>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19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lixuwei</dc:creator>
  <cp:keywords/>
  <dc:description/>
  <cp:lastModifiedBy>lixuwei</cp:lastModifiedBy>
  <cp:revision>6</cp:revision>
  <dcterms:created xsi:type="dcterms:W3CDTF">2020-10-29T05:59:00Z</dcterms:created>
  <dcterms:modified xsi:type="dcterms:W3CDTF">2020-10-29T06:00:00Z</dcterms:modified>
</cp:coreProperties>
</file>